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69AF" w14:textId="77777777" w:rsidR="001A1404" w:rsidRPr="009021A7" w:rsidRDefault="009021A7" w:rsidP="004C5E9B">
      <w:pPr>
        <w:spacing w:before="300" w:after="150"/>
        <w:outlineLvl w:val="2"/>
        <w:rPr>
          <w:rFonts w:ascii="Arial" w:eastAsia="Times New Roman" w:hAnsi="Arial" w:cs="Arial"/>
          <w:b/>
          <w:bCs/>
          <w:color w:val="158C85"/>
          <w:sz w:val="40"/>
          <w:szCs w:val="36"/>
          <w:lang w:val="fr-FR" w:eastAsia="de-DE"/>
        </w:rPr>
      </w:pPr>
      <w:r w:rsidRPr="009021A7">
        <w:rPr>
          <w:rFonts w:ascii="Arial" w:eastAsia="Times New Roman" w:hAnsi="Arial" w:cs="Arial"/>
          <w:bCs/>
          <w:noProof/>
          <w:color w:val="000000" w:themeColor="text1"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59FC1188" wp14:editId="363987A4">
            <wp:simplePos x="0" y="0"/>
            <wp:positionH relativeFrom="column">
              <wp:posOffset>4845685</wp:posOffset>
            </wp:positionH>
            <wp:positionV relativeFrom="paragraph">
              <wp:posOffset>263525</wp:posOffset>
            </wp:positionV>
            <wp:extent cx="1141095" cy="1141095"/>
            <wp:effectExtent l="0" t="0" r="1905" b="1905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Fictions mor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9B" w:rsidRPr="009021A7">
        <w:rPr>
          <w:rFonts w:ascii="Arial" w:eastAsia="Times New Roman" w:hAnsi="Arial" w:cs="Arial"/>
          <w:b/>
          <w:bCs/>
          <w:color w:val="158C85"/>
          <w:sz w:val="40"/>
          <w:szCs w:val="36"/>
          <w:lang w:val="fr-FR" w:eastAsia="de-DE"/>
        </w:rPr>
        <w:t xml:space="preserve">ORGANISATION &amp; </w:t>
      </w:r>
      <w:r w:rsidR="001A1404" w:rsidRPr="009021A7">
        <w:rPr>
          <w:rFonts w:ascii="Arial" w:eastAsia="Times New Roman" w:hAnsi="Arial" w:cs="Arial"/>
          <w:b/>
          <w:bCs/>
          <w:color w:val="158C85"/>
          <w:sz w:val="40"/>
          <w:szCs w:val="36"/>
          <w:lang w:val="fr-FR" w:eastAsia="de-DE"/>
        </w:rPr>
        <w:t>PROGRAMME</w:t>
      </w:r>
    </w:p>
    <w:p w14:paraId="1F3D16C6" w14:textId="77777777" w:rsidR="009021A7" w:rsidRDefault="009021A7" w:rsidP="004C5E9B">
      <w:pPr>
        <w:spacing w:before="300" w:after="150"/>
        <w:outlineLvl w:val="2"/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</w:pPr>
    </w:p>
    <w:p w14:paraId="059F6640" w14:textId="77777777" w:rsidR="001A1404" w:rsidRDefault="00901B9B" w:rsidP="004C5E9B">
      <w:pPr>
        <w:spacing w:before="300" w:after="150"/>
        <w:outlineLvl w:val="2"/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</w:pPr>
      <w:r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  <w:t xml:space="preserve">Le colloque se déroulera en ligne via la plateforme </w:t>
      </w:r>
      <w:r w:rsidRPr="00901B9B">
        <w:rPr>
          <w:rFonts w:ascii="Arial" w:eastAsia="Times New Roman" w:hAnsi="Arial" w:cs="Arial"/>
          <w:b/>
          <w:bCs/>
          <w:color w:val="404040" w:themeColor="text1" w:themeTint="BF"/>
          <w:szCs w:val="36"/>
          <w:lang w:val="fr-FR" w:eastAsia="de-DE"/>
        </w:rPr>
        <w:t>Zoom</w:t>
      </w:r>
      <w:r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  <w:t> :</w:t>
      </w:r>
    </w:p>
    <w:p w14:paraId="4F226131" w14:textId="77777777" w:rsidR="00901B9B" w:rsidRDefault="00901B9B" w:rsidP="004C5E9B">
      <w:pPr>
        <w:spacing w:before="300" w:after="150"/>
        <w:outlineLvl w:val="2"/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</w:pPr>
      <w:r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  <w:t xml:space="preserve">Lien :  </w:t>
      </w:r>
      <w:hyperlink r:id="rId5" w:history="1">
        <w:r w:rsidRPr="00B24878">
          <w:rPr>
            <w:rStyle w:val="Link"/>
            <w:rFonts w:ascii="Arial" w:eastAsia="Times New Roman" w:hAnsi="Arial" w:cs="Arial"/>
            <w:bCs/>
            <w:color w:val="1A89F9" w:themeColor="hyperlink" w:themeTint="BF"/>
            <w:szCs w:val="36"/>
            <w:lang w:val="fr-FR" w:eastAsia="de-DE"/>
          </w:rPr>
          <w:t>https://univ-tlse2.zoom.us/j/9175549809</w:t>
        </w:r>
      </w:hyperlink>
    </w:p>
    <w:p w14:paraId="74F77AA0" w14:textId="1FC32E82" w:rsidR="00901B9B" w:rsidRPr="00D14AB1" w:rsidRDefault="00416BD2" w:rsidP="00901B9B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  <w:t xml:space="preserve">ID </w:t>
      </w:r>
      <w:r w:rsidR="00901B9B">
        <w:rPr>
          <w:rFonts w:ascii="Arial" w:eastAsia="Times New Roman" w:hAnsi="Arial" w:cs="Arial"/>
          <w:bCs/>
          <w:color w:val="404040" w:themeColor="text1" w:themeTint="BF"/>
          <w:szCs w:val="36"/>
          <w:lang w:val="fr-FR" w:eastAsia="de-DE"/>
        </w:rPr>
        <w:t xml:space="preserve">de la réunion : </w:t>
      </w:r>
      <w:r w:rsidR="00901B9B" w:rsidRPr="00D14AB1">
        <w:rPr>
          <w:rFonts w:ascii="Arial" w:eastAsia="Times New Roman" w:hAnsi="Arial" w:cs="Arial"/>
          <w:color w:val="404040" w:themeColor="text1" w:themeTint="BF"/>
          <w:lang w:val="en-US" w:eastAsia="de-DE"/>
        </w:rPr>
        <w:t>917 554 9809</w:t>
      </w:r>
      <w:r w:rsidR="00901B9B" w:rsidRPr="00D14AB1">
        <w:rPr>
          <w:rFonts w:ascii="Times New Roman" w:eastAsia="Times New Roman" w:hAnsi="Times New Roman" w:cs="Times New Roman"/>
          <w:color w:val="404040" w:themeColor="text1" w:themeTint="BF"/>
          <w:lang w:val="en-US" w:eastAsia="de-DE"/>
        </w:rPr>
        <w:t xml:space="preserve"> </w:t>
      </w:r>
    </w:p>
    <w:p w14:paraId="5528468F" w14:textId="77777777" w:rsidR="009021A7" w:rsidRDefault="009021A7" w:rsidP="00D14AB1">
      <w:pPr>
        <w:spacing w:after="150"/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</w:pPr>
    </w:p>
    <w:p w14:paraId="0527AE4D" w14:textId="77777777" w:rsidR="00901B9B" w:rsidRDefault="00D14AB1" w:rsidP="00D14AB1">
      <w:pPr>
        <w:spacing w:after="150"/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</w:pPr>
      <w:r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  <w:t>Mercredi 21 octobre 2020</w:t>
      </w:r>
    </w:p>
    <w:p w14:paraId="5E5664FC" w14:textId="5336421E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17.30 :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Introduction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/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Einführung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–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Alexa Craïs</w:t>
      </w:r>
      <w:r w:rsidR="00DF2633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="00DF2633"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(Toulouse)</w:t>
      </w:r>
      <w:r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,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Magali Fourgnaud</w:t>
      </w:r>
      <w:r w:rsidR="00DF2633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="00DF2633"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(Bordeaux)</w:t>
      </w:r>
      <w:r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,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Valérie Leyh</w:t>
      </w:r>
      <w:r w:rsidR="00DF2633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="00DF2633"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(Namur)</w:t>
      </w:r>
    </w:p>
    <w:p w14:paraId="336D0D69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Conférence / Abendvortrag</w:t>
      </w:r>
    </w:p>
    <w:p w14:paraId="79A84444" w14:textId="77777777" w:rsidR="004C5E9B" w:rsidRPr="00901B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18.00 :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La littérature d’enfance et de jeunesse au prisme de ses traductions françaises -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Isabelle Nières-Chevrel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(Rennes, F)</w:t>
      </w:r>
    </w:p>
    <w:p w14:paraId="474FDDB6" w14:textId="77777777" w:rsidR="001A1404" w:rsidRPr="004C5E9B" w:rsidRDefault="001A1404" w:rsidP="004C5E9B">
      <w:pPr>
        <w:spacing w:after="150"/>
        <w:rPr>
          <w:rFonts w:ascii="Arial" w:hAnsi="Arial" w:cs="Arial"/>
          <w:color w:val="494949"/>
          <w:sz w:val="18"/>
          <w:szCs w:val="21"/>
          <w:lang w:val="fr-FR" w:eastAsia="de-DE"/>
        </w:rPr>
      </w:pPr>
    </w:p>
    <w:p w14:paraId="5DF97671" w14:textId="77777777" w:rsidR="00D14AB1" w:rsidRDefault="00D14AB1" w:rsidP="004C5E9B">
      <w:pPr>
        <w:spacing w:after="150"/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</w:pPr>
      <w:r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  <w:t>Jeudi 22 octobre 2020</w:t>
      </w:r>
    </w:p>
    <w:p w14:paraId="4641B966" w14:textId="3915D070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Section 1 / Panel 1 : Traduire les valeurs morales / Moralische Werte übersetzen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 xml:space="preserve">- </w:t>
      </w:r>
      <w:r w:rsid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Présidence de séance : </w:t>
      </w:r>
      <w:r w:rsidR="00901B9B" w:rsidRPr="00EC21F0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Tristan Coignard</w:t>
      </w:r>
      <w:r w:rsidR="004849FC" w:rsidRPr="00EC21F0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 </w:t>
      </w:r>
      <w:r w:rsidR="00EC21F0"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(Bordeaux)</w:t>
      </w:r>
    </w:p>
    <w:p w14:paraId="62724A8E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9.00 :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Moralische Erzählung und anthropologische Fallgeschichte: Marmontel-Transformationen des Sturm und Drang –</w:t>
      </w:r>
      <w:r w:rsidRPr="00901B9B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Christopher Meid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(Freiburg i. Br., D) </w:t>
      </w:r>
    </w:p>
    <w:p w14:paraId="55A314E2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9.40 :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Die Rezeption rousseauscher Glückseligkeit am Beispiel deutschsprachiger Übertragungen der Erzählung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Paul et Virginie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im 18. Jahrhundert 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Merisa Taranis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(Stuttgart, D)</w:t>
      </w:r>
    </w:p>
    <w:p w14:paraId="6C650022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10.20 : Pause</w:t>
      </w:r>
    </w:p>
    <w:p w14:paraId="79C316FA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10.40 :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« Durch sie ging eine bis dahin mir unbekannt gebliebene Welt, die weite reiche Feenwelt in blendender Glorie in mir auf ». La réception de Marie Leprince de Beaumont en Allemagne 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Ivana Lohrey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(Augsburg, D)</w:t>
      </w:r>
    </w:p>
    <w:p w14:paraId="4C557420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11.20 :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Die Vorbereitung der Mädchen und Jungen auf die späteren sozialen Rollen durch die moralischen Erzählungen. Beobachtungen anhand ungarischer Texte 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Katalin Kozma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(Eger, H)</w:t>
      </w:r>
    </w:p>
    <w:p w14:paraId="0554BA7B" w14:textId="77777777" w:rsidR="004C5E9B" w:rsidRPr="00901B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12.00 : Premières conclusions / Zwischenfazit</w:t>
      </w:r>
    </w:p>
    <w:p w14:paraId="1E82C5C5" w14:textId="77777777" w:rsidR="001A1404" w:rsidRPr="004C5E9B" w:rsidRDefault="001A1404" w:rsidP="004C5E9B">
      <w:pPr>
        <w:spacing w:after="150"/>
        <w:rPr>
          <w:rFonts w:ascii="Arial" w:hAnsi="Arial" w:cs="Arial"/>
          <w:color w:val="494949"/>
          <w:sz w:val="18"/>
          <w:szCs w:val="21"/>
          <w:lang w:val="fr-FR" w:eastAsia="de-DE"/>
        </w:rPr>
      </w:pPr>
    </w:p>
    <w:p w14:paraId="19E9DC2D" w14:textId="77777777" w:rsidR="00D14AB1" w:rsidRDefault="00D14AB1" w:rsidP="00D14AB1">
      <w:pPr>
        <w:spacing w:after="150"/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</w:pPr>
      <w:r>
        <w:rPr>
          <w:rFonts w:ascii="Arial" w:eastAsia="Times New Roman" w:hAnsi="Arial" w:cs="Arial"/>
          <w:b/>
          <w:bCs/>
          <w:color w:val="158C85"/>
          <w:sz w:val="28"/>
          <w:szCs w:val="36"/>
          <w:lang w:val="fr-FR" w:eastAsia="de-DE"/>
        </w:rPr>
        <w:t>Vendredi 23 octobre 2020</w:t>
      </w:r>
    </w:p>
    <w:p w14:paraId="3BB07A5F" w14:textId="27E516CC" w:rsidR="004C5E9B" w:rsidRPr="00DF2633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Section 2 / Panel 2 : Réécritures / Bearbeitungen </w:t>
      </w:r>
      <w:r w:rsid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– Présidence de séance : </w:t>
      </w:r>
      <w:r w:rsidR="00901B9B" w:rsidRPr="00092B85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Daniel Delbrassine</w:t>
      </w:r>
      <w:r w:rsidR="009021A7" w:rsidRPr="00092B85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="00EC21F0" w:rsidRP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(Liège</w:t>
      </w:r>
      <w:r w:rsidR="00EC21F0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) </w:t>
      </w:r>
      <w:r w:rsidR="009021A7" w:rsidRPr="00092B85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et</w:t>
      </w:r>
      <w:r w:rsidR="00F9055A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 </w:t>
      </w:r>
      <w:r w:rsidR="00DF2633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Alexa </w:t>
      </w:r>
      <w:r w:rsidR="00DF2633"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Craïs</w:t>
      </w:r>
      <w:r w:rsidR="00DF2633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="00DF2633">
        <w:rPr>
          <w:rFonts w:ascii="Arial" w:hAnsi="Arial" w:cs="Arial"/>
          <w:bCs/>
          <w:color w:val="404040" w:themeColor="text1" w:themeTint="BF"/>
          <w:sz w:val="20"/>
          <w:szCs w:val="21"/>
          <w:lang w:val="fr-FR" w:eastAsia="de-DE"/>
        </w:rPr>
        <w:t>(Toulouse)</w:t>
      </w:r>
      <w:bookmarkStart w:id="0" w:name="_GoBack"/>
      <w:bookmarkEnd w:id="0"/>
    </w:p>
    <w:p w14:paraId="7C53680C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9.00 :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Les fictions dramatiques de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L’Ami des enfants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et de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L’Ami de l’adolescence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entre traités d’éducation et expériences morales : une écriture théâtrale à destination plurielle 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Béatrice Ferrier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(Arras, F)</w:t>
      </w:r>
    </w:p>
    <w:p w14:paraId="26CB96E3" w14:textId="77777777" w:rsidR="00901B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9.40 :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Parole et récit dans la presse périodique pour la jeunesse.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L’Ami des enfants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(1782-1783),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L’Ami de l’adolescence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(1784-1785) de Berquin et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Le Courrier des enfants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(1796-1799) de Louis-François Jauffret 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Françoise Tilkin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(Liège, B)</w:t>
      </w:r>
    </w:p>
    <w:p w14:paraId="6B68461F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10.20 : Pause</w:t>
      </w:r>
    </w:p>
    <w:p w14:paraId="1A57144A" w14:textId="289A50E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10.40 :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 Geschichten für Töchter und für Söhne: August von Kotzebues Bouilly-Bearbeitungen als Beitrag zur Jugendliteratur zwischen Aufklärung und Biedermeier –</w:t>
      </w:r>
      <w:r w:rsidRPr="00901B9B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Julia Bohnengel</w:t>
      </w:r>
      <w:r w:rsidR="00491378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 xml:space="preserve"> 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(Heidelberg, D)</w:t>
      </w:r>
    </w:p>
    <w:p w14:paraId="19B22CA2" w14:textId="77777777" w:rsidR="004C5E9B" w:rsidRPr="004C5E9B" w:rsidRDefault="004C5E9B" w:rsidP="004C5E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11.20 :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Éducation, traduction et médiation dans l’œuvre de Marie-Élisabeth de La Fite</w:t>
      </w:r>
      <w:r w:rsidRPr="00901B9B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1"/>
          <w:lang w:val="fr-FR" w:eastAsia="de-DE"/>
        </w:rPr>
        <w:t> </w:t>
      </w:r>
      <w:r w:rsidRPr="00901B9B">
        <w:rPr>
          <w:rFonts w:ascii="Arial" w:hAnsi="Arial" w:cs="Arial"/>
          <w:i/>
          <w:iCs/>
          <w:color w:val="404040" w:themeColor="text1" w:themeTint="BF"/>
          <w:sz w:val="20"/>
          <w:szCs w:val="21"/>
          <w:lang w:val="fr-FR" w:eastAsia="de-DE"/>
        </w:rPr>
        <w:t>– </w:t>
      </w:r>
      <w:r w:rsidRPr="00901B9B">
        <w:rPr>
          <w:rFonts w:ascii="Arial" w:hAnsi="Arial" w:cs="Arial"/>
          <w:b/>
          <w:bCs/>
          <w:color w:val="404040" w:themeColor="text1" w:themeTint="BF"/>
          <w:sz w:val="20"/>
          <w:szCs w:val="21"/>
          <w:lang w:val="fr-FR" w:eastAsia="de-DE"/>
        </w:rPr>
        <w:t>Beatrijs Vanacker</w:t>
      </w:r>
      <w:r w:rsidRPr="00901B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 </w:t>
      </w: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(Leuven, B)</w:t>
      </w:r>
    </w:p>
    <w:p w14:paraId="6366FCD8" w14:textId="77777777" w:rsidR="00700B8F" w:rsidRPr="00901B9B" w:rsidRDefault="004C5E9B" w:rsidP="00901B9B">
      <w:pPr>
        <w:spacing w:after="150"/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</w:pPr>
      <w:r w:rsidRPr="004C5E9B">
        <w:rPr>
          <w:rFonts w:ascii="Arial" w:hAnsi="Arial" w:cs="Arial"/>
          <w:color w:val="404040" w:themeColor="text1" w:themeTint="BF"/>
          <w:sz w:val="20"/>
          <w:szCs w:val="21"/>
          <w:lang w:val="fr-FR" w:eastAsia="de-DE"/>
        </w:rPr>
        <w:t>12.00 : Table ronde avec tous les participants / Diskussionsrunde mit allen Teilnehmenden </w:t>
      </w:r>
    </w:p>
    <w:sectPr w:rsidR="00700B8F" w:rsidRPr="00901B9B" w:rsidSect="00901B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9B"/>
    <w:rsid w:val="00092B85"/>
    <w:rsid w:val="000B0C54"/>
    <w:rsid w:val="0017185A"/>
    <w:rsid w:val="00175EE7"/>
    <w:rsid w:val="001A1404"/>
    <w:rsid w:val="002C2246"/>
    <w:rsid w:val="00416BD2"/>
    <w:rsid w:val="00437A1F"/>
    <w:rsid w:val="004849FC"/>
    <w:rsid w:val="00491378"/>
    <w:rsid w:val="004C5E9B"/>
    <w:rsid w:val="005E7A6A"/>
    <w:rsid w:val="006C1A5D"/>
    <w:rsid w:val="0076328A"/>
    <w:rsid w:val="007F4606"/>
    <w:rsid w:val="00810B3B"/>
    <w:rsid w:val="00851C24"/>
    <w:rsid w:val="008C1738"/>
    <w:rsid w:val="00901B9B"/>
    <w:rsid w:val="009021A7"/>
    <w:rsid w:val="00907552"/>
    <w:rsid w:val="00BC7AE5"/>
    <w:rsid w:val="00C7690C"/>
    <w:rsid w:val="00C8108B"/>
    <w:rsid w:val="00CF63D7"/>
    <w:rsid w:val="00D14AB1"/>
    <w:rsid w:val="00DF2633"/>
    <w:rsid w:val="00E86980"/>
    <w:rsid w:val="00EC21F0"/>
    <w:rsid w:val="00F9055A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C5E9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C5E9B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4C5E9B"/>
    <w:rPr>
      <w:b/>
      <w:bCs/>
    </w:rPr>
  </w:style>
  <w:style w:type="character" w:customStyle="1" w:styleId="apple-converted-space">
    <w:name w:val="apple-converted-space"/>
    <w:basedOn w:val="Absatz-Standardschriftart"/>
    <w:rsid w:val="004C5E9B"/>
  </w:style>
  <w:style w:type="paragraph" w:styleId="StandardWeb">
    <w:name w:val="Normal (Web)"/>
    <w:basedOn w:val="Standard"/>
    <w:uiPriority w:val="99"/>
    <w:semiHidden/>
    <w:unhideWhenUsed/>
    <w:rsid w:val="004C5E9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4C5E9B"/>
    <w:rPr>
      <w:i/>
      <w:iCs/>
    </w:rPr>
  </w:style>
  <w:style w:type="character" w:styleId="Link">
    <w:name w:val="Hyperlink"/>
    <w:basedOn w:val="Absatz-Standardschriftart"/>
    <w:uiPriority w:val="99"/>
    <w:unhideWhenUsed/>
    <w:rsid w:val="0090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univ-tlse2.zoom.us/j/91755498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/ORGANISATION &amp; PROGRAMME</vt:lpstr>
      <vt:lpstr>        </vt:lpstr>
      <vt:lpstr>        Le colloque se déroulera en ligne via la plateforme Zoom :</vt:lpstr>
      <vt:lpstr>        Lien :  https://univ-tlse2.zoom.us/j/9175549809</vt:lpstr>
    </vt:vector>
  </TitlesOfParts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Leyh</dc:creator>
  <cp:keywords/>
  <dc:description/>
  <cp:lastModifiedBy>Valerie Leyh</cp:lastModifiedBy>
  <cp:revision>10</cp:revision>
  <dcterms:created xsi:type="dcterms:W3CDTF">2020-09-29T08:49:00Z</dcterms:created>
  <dcterms:modified xsi:type="dcterms:W3CDTF">2020-10-01T08:54:00Z</dcterms:modified>
</cp:coreProperties>
</file>